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42" w:rsidRPr="008C6242" w:rsidRDefault="008C6242" w:rsidP="008C6242">
      <w:pPr>
        <w:outlineLvl w:val="2"/>
        <w:rPr>
          <w:rFonts w:ascii="Times" w:eastAsia="Times New Roman" w:hAnsi="Times" w:cs="Times New Roman"/>
          <w:b/>
          <w:bCs/>
          <w:color w:val="D14000"/>
          <w:sz w:val="18"/>
          <w:szCs w:val="18"/>
        </w:rPr>
      </w:pPr>
      <w:r w:rsidRPr="008C6242">
        <w:rPr>
          <w:rFonts w:ascii="Times" w:eastAsia="Times New Roman" w:hAnsi="Times" w:cs="Times New Roman"/>
          <w:b/>
          <w:bCs/>
          <w:color w:val="D14000"/>
          <w:sz w:val="18"/>
          <w:szCs w:val="18"/>
        </w:rPr>
        <w:t>Exercise 5-26</w:t>
      </w:r>
    </w:p>
    <w:p w:rsidR="008C6242" w:rsidRPr="008C6242" w:rsidRDefault="008C6242" w:rsidP="008C6242">
      <w:pPr>
        <w:shd w:val="clear" w:color="auto" w:fill="FFFFFF"/>
        <w:spacing w:after="240"/>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 xml:space="preserve">Jim </w:t>
      </w:r>
      <w:proofErr w:type="spellStart"/>
      <w:r w:rsidRPr="008C6242">
        <w:rPr>
          <w:rFonts w:ascii="Verdana" w:eastAsia="Times New Roman" w:hAnsi="Verdana" w:cs="Times New Roman"/>
          <w:color w:val="000000"/>
          <w:sz w:val="18"/>
          <w:szCs w:val="18"/>
        </w:rPr>
        <w:t>Heston</w:t>
      </w:r>
      <w:proofErr w:type="spellEnd"/>
      <w:r w:rsidRPr="008C6242">
        <w:rPr>
          <w:rFonts w:ascii="Verdana" w:eastAsia="Times New Roman" w:hAnsi="Verdana" w:cs="Times New Roman"/>
          <w:color w:val="000000"/>
          <w:sz w:val="18"/>
          <w:szCs w:val="18"/>
        </w:rPr>
        <w:t xml:space="preserve"> has been working on Austin Paints' cash budget for the coming year. Based on his projections for March, the beginning cash balance will be $50,090; cash collections will be $700,000; and cash disbursements will be $710,450. Austin Paints desires to maintain a $50,000 minimum cash balance. The company has a 10 percent open line of credit with its bank, which provides short-term borrowings in $500 increments. All borrowings are made at the beginning of the month, and all repayments are made at the end of the month (in $500 increments). Accrued interest is paid at the time of repayment.</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96"/>
        <w:gridCol w:w="7903"/>
      </w:tblGrid>
      <w:tr w:rsidR="008C6242" w:rsidRPr="008C6242" w:rsidTr="008C6242">
        <w:trPr>
          <w:tblCellSpacing w:w="0" w:type="dxa"/>
        </w:trPr>
        <w:tc>
          <w:tcPr>
            <w:tcW w:w="100" w:type="dxa"/>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(a)</w:t>
            </w:r>
          </w:p>
        </w:tc>
        <w:tc>
          <w:tcPr>
            <w:tcW w:w="0" w:type="auto"/>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How much will Austin Paints need to borrow from the bank at the beginning of March?</w:t>
            </w:r>
          </w:p>
        </w:tc>
      </w:tr>
      <w:tr w:rsidR="008C6242" w:rsidRPr="008C6242" w:rsidTr="008C6242">
        <w:trPr>
          <w:tblCellSpacing w:w="0" w:type="dxa"/>
        </w:trPr>
        <w:tc>
          <w:tcPr>
            <w:tcW w:w="0" w:type="auto"/>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vAlign w:val="center"/>
            <w:hideMark/>
          </w:tcPr>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86"/>
              <w:gridCol w:w="2604"/>
              <w:gridCol w:w="800"/>
              <w:gridCol w:w="195"/>
              <w:gridCol w:w="86"/>
            </w:tblGrid>
            <w:tr w:rsidR="008C6242" w:rsidRPr="008C6242">
              <w:trPr>
                <w:tblCellSpacing w:w="0" w:type="dxa"/>
              </w:trPr>
              <w:tc>
                <w:tcPr>
                  <w:tcW w:w="4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Austin Paints should borrow</w:t>
                  </w:r>
                </w:p>
              </w:tc>
              <w:tc>
                <w:tcPr>
                  <w:tcW w:w="8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1" name="amarker_EAT_1377170778823_0_04243616505063452_0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170778823_0_04243616505063452_001"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NAME=\"EAT_1377170778823_0_04243616505063452_001\"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4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bl>
          <w:p w:rsidR="008C6242" w:rsidRPr="008C6242" w:rsidRDefault="008C6242" w:rsidP="008C6242">
            <w:pPr>
              <w:rPr>
                <w:rFonts w:ascii="Verdana" w:eastAsia="Times New Roman" w:hAnsi="Verdana" w:cs="Times New Roman"/>
                <w:color w:val="000000"/>
                <w:sz w:val="18"/>
                <w:szCs w:val="18"/>
              </w:rPr>
            </w:pPr>
          </w:p>
        </w:tc>
      </w:tr>
    </w:tbl>
    <w:p w:rsidR="008C6242" w:rsidRPr="008C6242" w:rsidRDefault="008C6242" w:rsidP="008C6242">
      <w:pPr>
        <w:shd w:val="clear" w:color="auto" w:fill="FFFFFF"/>
        <w:rPr>
          <w:rFonts w:ascii="Verdana" w:eastAsia="Times New Roman" w:hAnsi="Verdana" w:cs="Times New Roman"/>
          <w:color w:val="000000"/>
          <w:sz w:val="18"/>
          <w:szCs w:val="18"/>
        </w:rPr>
      </w:pP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164"/>
        <w:gridCol w:w="238"/>
        <w:gridCol w:w="4159"/>
        <w:gridCol w:w="4159"/>
      </w:tblGrid>
      <w:tr w:rsidR="008C6242" w:rsidRPr="008C6242" w:rsidTr="008C6242">
        <w:trPr>
          <w:tblCellSpacing w:w="0" w:type="dxa"/>
        </w:trPr>
        <w:tc>
          <w:tcPr>
            <w:tcW w:w="100" w:type="dxa"/>
            <w:gridSpan w:val="2"/>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(b)</w:t>
            </w:r>
          </w:p>
        </w:tc>
        <w:tc>
          <w:tcPr>
            <w:tcW w:w="0" w:type="auto"/>
            <w:gridSpan w:val="2"/>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 xml:space="preserve">Assuming that Austin Paints has $7,000 in excess cash budgeted for April, how much principal </w:t>
            </w:r>
            <w:proofErr w:type="gramStart"/>
            <w:r w:rsidRPr="008C6242">
              <w:rPr>
                <w:rFonts w:ascii="Verdana" w:eastAsia="Times New Roman" w:hAnsi="Verdana" w:cs="Times New Roman"/>
                <w:color w:val="000000"/>
                <w:sz w:val="18"/>
                <w:szCs w:val="18"/>
              </w:rPr>
              <w:t>will</w:t>
            </w:r>
            <w:proofErr w:type="gramEnd"/>
            <w:r w:rsidRPr="008C6242">
              <w:rPr>
                <w:rFonts w:ascii="Verdana" w:eastAsia="Times New Roman" w:hAnsi="Verdana" w:cs="Times New Roman"/>
                <w:color w:val="000000"/>
                <w:sz w:val="18"/>
                <w:szCs w:val="18"/>
              </w:rPr>
              <w:t xml:space="preserve"> the company plan to repay? How much interest will be repaid in April? </w:t>
            </w:r>
            <w:r w:rsidRPr="008C6242">
              <w:rPr>
                <w:rFonts w:ascii="Verdana" w:eastAsia="Times New Roman" w:hAnsi="Verdana" w:cs="Times New Roman"/>
                <w:b/>
                <w:bCs/>
                <w:i/>
                <w:iCs/>
                <w:color w:val="FF0000"/>
                <w:sz w:val="18"/>
                <w:szCs w:val="18"/>
              </w:rPr>
              <w:t>(Round interest repaid answer to the nearest whole dollar amount, e.g. 5,275.)</w:t>
            </w:r>
          </w:p>
        </w:tc>
      </w:tr>
      <w:tr w:rsidR="008C6242" w:rsidRPr="008C6242" w:rsidTr="008C6242">
        <w:trPr>
          <w:tblCellSpacing w:w="0" w:type="dxa"/>
        </w:trPr>
        <w:tc>
          <w:tcPr>
            <w:tcW w:w="0" w:type="auto"/>
            <w:gridSpan w:val="2"/>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gridSpan w:val="2"/>
            <w:vAlign w:val="center"/>
            <w:hideMark/>
          </w:tcPr>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86"/>
              <w:gridCol w:w="1997"/>
              <w:gridCol w:w="800"/>
              <w:gridCol w:w="195"/>
              <w:gridCol w:w="86"/>
            </w:tblGrid>
            <w:tr w:rsidR="008C6242" w:rsidRPr="008C6242">
              <w:trPr>
                <w:tblCellSpacing w:w="0" w:type="dxa"/>
              </w:trPr>
              <w:tc>
                <w:tcPr>
                  <w:tcW w:w="4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Principal to be repaid</w:t>
                  </w:r>
                </w:p>
              </w:tc>
              <w:tc>
                <w:tcPr>
                  <w:tcW w:w="8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3" name="amarker_EAT_1377170778823_0_04243616505063452_0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170778823_0_04243616505063452_003"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NAME=\"EAT_1377170778823_0_04243616505063452_003\"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4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Interest to be repaid</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5" name="amarker_EAT_1377170778823_0_04243616505063452_0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170778823_0_04243616505063452_005"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NAME=\"EAT_1377170778823_0_04243616505063452_005\"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bl>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blPrEx>
          <w:shd w:val="clear" w:color="auto" w:fill="FFFFFF"/>
          <w:tblCellMar>
            <w:top w:w="0" w:type="dxa"/>
            <w:left w:w="0" w:type="dxa"/>
            <w:bottom w:w="0" w:type="dxa"/>
            <w:right w:w="0" w:type="dxa"/>
          </w:tblCellMar>
        </w:tblPrEx>
        <w:trPr>
          <w:gridBefore w:val="1"/>
          <w:gridAfter w:val="1"/>
          <w:wBefore w:w="40" w:type="dxa"/>
          <w:tblCellSpacing w:w="0" w:type="dxa"/>
        </w:trPr>
        <w:tc>
          <w:tcPr>
            <w:tcW w:w="0" w:type="auto"/>
            <w:gridSpan w:val="2"/>
            <w:shd w:val="clear" w:color="auto" w:fill="FFFFFF"/>
            <w:vAlign w:val="center"/>
            <w:hideMark/>
          </w:tcPr>
          <w:p w:rsidR="008C6242" w:rsidRPr="008C6242" w:rsidRDefault="008C6242" w:rsidP="008C6242">
            <w:pPr>
              <w:rPr>
                <w:rFonts w:ascii="Verdana" w:eastAsia="Times New Roman" w:hAnsi="Verdana" w:cs="Times New Roman"/>
                <w:color w:val="000000"/>
                <w:sz w:val="18"/>
                <w:szCs w:val="18"/>
              </w:rPr>
            </w:pPr>
          </w:p>
        </w:tc>
      </w:tr>
    </w:tbl>
    <w:p w:rsidR="005D1FA2" w:rsidRDefault="005D1FA2"/>
    <w:p w:rsidR="008C6242" w:rsidRPr="008C6242" w:rsidRDefault="008C6242" w:rsidP="008C6242">
      <w:pPr>
        <w:outlineLvl w:val="2"/>
        <w:rPr>
          <w:rFonts w:ascii="Verdana" w:eastAsia="Times New Roman" w:hAnsi="Verdana" w:cs="Times New Roman"/>
          <w:b/>
          <w:bCs/>
          <w:color w:val="D14000"/>
          <w:sz w:val="18"/>
          <w:szCs w:val="18"/>
        </w:rPr>
      </w:pPr>
      <w:r w:rsidRPr="008C6242">
        <w:rPr>
          <w:rFonts w:ascii="Verdana" w:eastAsia="Times New Roman" w:hAnsi="Verdana" w:cs="Times New Roman"/>
          <w:b/>
          <w:bCs/>
          <w:color w:val="D14000"/>
          <w:sz w:val="18"/>
          <w:szCs w:val="18"/>
        </w:rPr>
        <w:t>Problem 6-32</w:t>
      </w:r>
    </w:p>
    <w:p w:rsidR="008C6242" w:rsidRPr="008C6242" w:rsidRDefault="008C6242" w:rsidP="008C6242">
      <w:pPr>
        <w:spacing w:after="240"/>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Gerald/Brooke, Ltd. manufactures shirts, which it sells to customers for embroidering with various slogans and emblems. The standard cost card for the shirts is as follows.</w:t>
      </w:r>
    </w:p>
    <w:tbl>
      <w:tblPr>
        <w:tblW w:w="0" w:type="auto"/>
        <w:tblCellSpacing w:w="0" w:type="dxa"/>
        <w:tblCellMar>
          <w:left w:w="0" w:type="dxa"/>
          <w:right w:w="0" w:type="dxa"/>
        </w:tblCellMar>
        <w:tblLook w:val="04A0" w:firstRow="1" w:lastRow="0" w:firstColumn="1" w:lastColumn="0" w:noHBand="0" w:noVBand="1"/>
      </w:tblPr>
      <w:tblGrid>
        <w:gridCol w:w="1639"/>
        <w:gridCol w:w="200"/>
        <w:gridCol w:w="1490"/>
        <w:gridCol w:w="200"/>
        <w:gridCol w:w="1854"/>
        <w:gridCol w:w="200"/>
        <w:gridCol w:w="1424"/>
        <w:gridCol w:w="200"/>
      </w:tblGrid>
      <w:tr w:rsidR="008C6242" w:rsidRPr="008C6242" w:rsidTr="008C6242">
        <w:trPr>
          <w:tblCellSpacing w:w="0" w:type="dxa"/>
        </w:trPr>
        <w:tc>
          <w:tcPr>
            <w:tcW w:w="0" w:type="auto"/>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Standard Price</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Standard Quantity</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Standard Cost</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Direct materials</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$1.6 per yard</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1.25 yards</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$2</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Direct labor</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$12 per DLH</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0.25 DLH</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Variable overhead</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$4 per DLH</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0.25 DLH</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Fixed overhead</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$6 per DLH</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0.25 DLH</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1.5</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$7.50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bl>
    <w:p w:rsidR="008C6242" w:rsidRPr="008C6242" w:rsidRDefault="008C6242" w:rsidP="008C6242">
      <w:pPr>
        <w:spacing w:after="240"/>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br/>
        <w:t xml:space="preserve">Bobby </w:t>
      </w:r>
      <w:proofErr w:type="spellStart"/>
      <w:r w:rsidRPr="008C6242">
        <w:rPr>
          <w:rFonts w:ascii="Verdana" w:eastAsia="Times New Roman" w:hAnsi="Verdana" w:cs="Times New Roman"/>
          <w:color w:val="000000"/>
          <w:sz w:val="18"/>
          <w:szCs w:val="18"/>
        </w:rPr>
        <w:t>Brickley</w:t>
      </w:r>
      <w:proofErr w:type="spellEnd"/>
      <w:r w:rsidRPr="008C6242">
        <w:rPr>
          <w:rFonts w:ascii="Verdana" w:eastAsia="Times New Roman" w:hAnsi="Verdana" w:cs="Times New Roman"/>
          <w:color w:val="000000"/>
          <w:sz w:val="18"/>
          <w:szCs w:val="18"/>
        </w:rPr>
        <w:t>, operations manager, was reviewing the results for November when he became upset by the unfavorable variances he was seeing. In an attempt to understand what had happened, Bobby asked CFO Lila Davis for more information. She provided the following overhead budgets, along with the actual results for November.</w:t>
      </w:r>
      <w:r w:rsidRPr="008C6242">
        <w:rPr>
          <w:rFonts w:ascii="Verdana" w:eastAsia="Times New Roman" w:hAnsi="Verdana" w:cs="Times New Roman"/>
          <w:color w:val="000000"/>
          <w:sz w:val="18"/>
          <w:szCs w:val="18"/>
        </w:rPr>
        <w:br/>
      </w:r>
      <w:r w:rsidRPr="008C6242">
        <w:rPr>
          <w:rFonts w:ascii="Verdana" w:eastAsia="Times New Roman" w:hAnsi="Verdana" w:cs="Times New Roman"/>
          <w:color w:val="000000"/>
          <w:sz w:val="18"/>
          <w:szCs w:val="18"/>
        </w:rPr>
        <w:br/>
        <w:t>The company purchased and used 119,300 yards of fabric during the month. Fabric purchases during the month were made at $1.45 per yard. The direct labor payroll ran $257,367, with an actual hourly rate of $12.1 per direct labor hour. The annual budgets were based on the production of 1,004,240 shirts, using 251,400 direct labor hours. Though the budget for November was based on 89,500 shirts, the company actually produced 85,080 shirts during the month.</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1665"/>
        <w:gridCol w:w="200"/>
        <w:gridCol w:w="1567"/>
        <w:gridCol w:w="200"/>
        <w:gridCol w:w="972"/>
        <w:gridCol w:w="200"/>
        <w:gridCol w:w="1936"/>
        <w:gridCol w:w="200"/>
      </w:tblGrid>
      <w:tr w:rsidR="008C6242" w:rsidRPr="008C6242" w:rsidTr="008C6242">
        <w:trPr>
          <w:tblCellSpacing w:w="0" w:type="dxa"/>
        </w:trPr>
        <w:tc>
          <w:tcPr>
            <w:tcW w:w="0" w:type="auto"/>
            <w:shd w:val="clear" w:color="auto" w:fill="003366"/>
            <w:vAlign w:val="center"/>
            <w:hideMark/>
          </w:tcPr>
          <w:p w:rsidR="008C6242" w:rsidRPr="008C6242" w:rsidRDefault="008C6242" w:rsidP="008C6242">
            <w:pPr>
              <w:rPr>
                <w:rFonts w:ascii="Verdana" w:eastAsia="Times New Roman" w:hAnsi="Verdana" w:cs="Times New Roman"/>
                <w:color w:val="000000"/>
                <w:sz w:val="18"/>
                <w:szCs w:val="18"/>
              </w:rPr>
            </w:pPr>
          </w:p>
        </w:tc>
        <w:tc>
          <w:tcPr>
            <w:tcW w:w="200" w:type="dxa"/>
            <w:shd w:val="clear" w:color="auto" w:fill="003366"/>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gridSpan w:val="6"/>
            <w:shd w:val="clear" w:color="auto" w:fill="003366"/>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FFFFFF"/>
                <w:sz w:val="18"/>
                <w:szCs w:val="18"/>
              </w:rPr>
              <w:t>Variable Overhead Budget</w:t>
            </w:r>
          </w:p>
        </w:tc>
      </w:tr>
      <w:tr w:rsidR="008C6242" w:rsidRPr="008C6242" w:rsidTr="008C6242">
        <w:trPr>
          <w:tblCellSpacing w:w="0" w:type="dxa"/>
        </w:trPr>
        <w:tc>
          <w:tcPr>
            <w:tcW w:w="0" w:type="auto"/>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Annual Budget</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Per Shirt</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November—Actual</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Indirect material</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$453,500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$0.45</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$36,100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Indirect labor</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300,900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0.3</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34,520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Equipment repair</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200,300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0.2</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19,200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Equipment power</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52,200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0.05</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12,900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     Total</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$1,006,900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$102,720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bl>
    <w:p w:rsidR="008C6242" w:rsidRPr="008C6242" w:rsidRDefault="008C6242" w:rsidP="008C6242">
      <w:pPr>
        <w:rPr>
          <w:rFonts w:ascii="Verdana" w:eastAsia="Times New Roman" w:hAnsi="Verdana" w:cs="Times New Roman"/>
          <w:color w:val="000000"/>
          <w:sz w:val="18"/>
          <w:szCs w:val="18"/>
        </w:rPr>
      </w:pP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1906"/>
        <w:gridCol w:w="200"/>
        <w:gridCol w:w="1567"/>
        <w:gridCol w:w="200"/>
        <w:gridCol w:w="1936"/>
        <w:gridCol w:w="200"/>
      </w:tblGrid>
      <w:tr w:rsidR="008C6242" w:rsidRPr="008C6242" w:rsidTr="008C6242">
        <w:trPr>
          <w:tblCellSpacing w:w="0" w:type="dxa"/>
        </w:trPr>
        <w:tc>
          <w:tcPr>
            <w:tcW w:w="0" w:type="auto"/>
            <w:shd w:val="clear" w:color="auto" w:fill="003366"/>
            <w:vAlign w:val="bottom"/>
            <w:hideMark/>
          </w:tcPr>
          <w:p w:rsidR="008C6242" w:rsidRPr="008C6242" w:rsidRDefault="008C6242" w:rsidP="008C6242">
            <w:pPr>
              <w:jc w:val="center"/>
              <w:rPr>
                <w:rFonts w:ascii="Verdana" w:eastAsia="Times New Roman" w:hAnsi="Verdana" w:cs="Times New Roman"/>
                <w:color w:val="000000"/>
                <w:sz w:val="18"/>
                <w:szCs w:val="18"/>
              </w:rPr>
            </w:pPr>
          </w:p>
        </w:tc>
        <w:tc>
          <w:tcPr>
            <w:tcW w:w="0" w:type="auto"/>
            <w:shd w:val="clear" w:color="auto" w:fill="003366"/>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gridSpan w:val="4"/>
            <w:shd w:val="clear" w:color="auto" w:fill="003366"/>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FFFFFF"/>
                <w:sz w:val="18"/>
                <w:szCs w:val="18"/>
              </w:rPr>
              <w:t>Fixed Overhead Budget</w:t>
            </w:r>
          </w:p>
        </w:tc>
      </w:tr>
      <w:tr w:rsidR="008C6242" w:rsidRPr="008C6242" w:rsidTr="008C6242">
        <w:trPr>
          <w:tblCellSpacing w:w="0" w:type="dxa"/>
        </w:trPr>
        <w:tc>
          <w:tcPr>
            <w:tcW w:w="0" w:type="auto"/>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Annual Budget</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A4C4DE"/>
            <w:vAlign w:val="bottom"/>
            <w:hideMark/>
          </w:tcPr>
          <w:p w:rsidR="008C6242" w:rsidRPr="008C6242" w:rsidRDefault="008C6242" w:rsidP="008C6242">
            <w:pPr>
              <w:jc w:val="center"/>
              <w:rPr>
                <w:rFonts w:ascii="Verdana" w:eastAsia="Times New Roman" w:hAnsi="Verdana" w:cs="Times New Roman"/>
                <w:color w:val="000000"/>
                <w:sz w:val="18"/>
                <w:szCs w:val="18"/>
              </w:rPr>
            </w:pPr>
            <w:r w:rsidRPr="008C6242">
              <w:rPr>
                <w:rFonts w:ascii="Verdana" w:eastAsia="Times New Roman" w:hAnsi="Verdana" w:cs="Times New Roman"/>
                <w:b/>
                <w:bCs/>
                <w:color w:val="000000"/>
                <w:sz w:val="18"/>
                <w:szCs w:val="18"/>
              </w:rPr>
              <w:t>November—Actual</w:t>
            </w:r>
          </w:p>
        </w:tc>
        <w:tc>
          <w:tcPr>
            <w:tcW w:w="200" w:type="dxa"/>
            <w:shd w:val="clear" w:color="auto" w:fill="A4C4DE"/>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Supervisory salaries</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$262,900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$23,600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Insurance</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354,200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34,200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Property taxes</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82,300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8,400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Depreciation</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323,600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37,900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Utilities</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212,300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24,200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Quality inspection</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280,400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30,400</w:t>
            </w:r>
          </w:p>
        </w:tc>
        <w:tc>
          <w:tcPr>
            <w:tcW w:w="200" w:type="dxa"/>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p>
        </w:tc>
      </w:tr>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     Total</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$1,515,700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c>
          <w:tcPr>
            <w:tcW w:w="0" w:type="auto"/>
            <w:tcBorders>
              <w:bottom w:val="double" w:sz="6" w:space="0" w:color="000000"/>
            </w:tcBorders>
            <w:shd w:val="clear" w:color="auto" w:fill="DEEAF9"/>
            <w:vAlign w:val="center"/>
            <w:hideMark/>
          </w:tcPr>
          <w:p w:rsidR="008C6242" w:rsidRPr="008C6242" w:rsidRDefault="008C6242" w:rsidP="008C6242">
            <w:pPr>
              <w:jc w:val="right"/>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$158,700</w:t>
            </w:r>
          </w:p>
        </w:tc>
        <w:tc>
          <w:tcPr>
            <w:tcW w:w="200" w:type="dxa"/>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p>
        </w:tc>
      </w:tr>
    </w:tbl>
    <w:p w:rsidR="008C6242" w:rsidRPr="008C6242" w:rsidRDefault="008C6242" w:rsidP="008C6242">
      <w:pPr>
        <w:spacing w:after="240"/>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br/>
      </w:r>
      <w:r w:rsidRPr="008C6242">
        <w:rPr>
          <w:rFonts w:ascii="Verdana" w:eastAsia="Times New Roman" w:hAnsi="Verdana" w:cs="Times New Roman"/>
          <w:color w:val="000000"/>
          <w:sz w:val="18"/>
          <w:szCs w:val="18"/>
        </w:rPr>
        <w:br/>
      </w:r>
      <w:r w:rsidRPr="008C6242">
        <w:rPr>
          <w:rFonts w:ascii="Verdana" w:eastAsia="Times New Roman" w:hAnsi="Verdana" w:cs="Times New Roman"/>
          <w:b/>
          <w:bCs/>
          <w:color w:val="000000"/>
          <w:sz w:val="18"/>
          <w:szCs w:val="18"/>
        </w:rPr>
        <w:t>(a) </w:t>
      </w:r>
      <w:r w:rsidRPr="008C6242">
        <w:rPr>
          <w:rFonts w:ascii="Verdana" w:eastAsia="Times New Roman" w:hAnsi="Verdana" w:cs="Times New Roman"/>
          <w:color w:val="000000"/>
          <w:sz w:val="18"/>
          <w:szCs w:val="18"/>
        </w:rPr>
        <w:t>Calculate the direct materials price and quantity variances for November. </w:t>
      </w:r>
      <w:r w:rsidRPr="008C6242">
        <w:rPr>
          <w:rFonts w:ascii="Verdana" w:eastAsia="Times New Roman" w:hAnsi="Verdana" w:cs="Times New Roman"/>
          <w:b/>
          <w:bCs/>
          <w:i/>
          <w:iCs/>
          <w:color w:val="FF0000"/>
          <w:sz w:val="18"/>
          <w:szCs w:val="18"/>
        </w:rPr>
        <w:t>(If variance is zero, select "Not Applicable" and enter 0 for the amounts.)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062"/>
        <w:gridCol w:w="195"/>
        <w:gridCol w:w="100"/>
      </w:tblGrid>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Direct material price variance</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13" name="amarker_EAT_1377839874524_0_22472004134295542_0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1"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NAME=\"EAT_1377839874524_0_22472004134295542_001\"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15" name="amarker_EAT_1377839874524_0_22472004134295542_0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2"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"&lt;SELECT NAME=\"EAT_1377839874524_0_22472004134295542_002\"&gt;&lt;OPTION VALUE=""&gt; &lt;/OPTION&gt;&lt;OPTION VALUE="513628500_0_569041246771031_dropdown_184_resp_1"&gt;Favorable&lt;/OPTION&gt;&lt;OPTION VALUE="513628500_0_569041246771031_dropdown_184_resp_2"&gt;Unfavorable&lt;/OPTION&gt;&lt;OPTION VALUE="EAT_1360837181233_0_1897982604338393"&gt;Not Applicable&lt;/OPTION&gt;&lt;/SELECT&gt;"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698500" cy="292100"/>
                  <wp:effectExtent l="0" t="0" r="1270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2921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Direct material quantity variance</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17" name="amarker_EAT_1377839874524_0_22472004134295542_0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3"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NAME=\"EAT_1377839874524_0_22472004134295542_003\"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19" name="amarker_EAT_1377839874524_0_22472004134295542_0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4"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"&lt;SELECT NAME=\"EAT_1377839874524_0_22472004134295542_004\"&gt;&lt;OPTION VALUE=""&gt; &lt;/OPTION&gt;&lt;OPTION VALUE="513628500_0_569041246771031_dropdown_189_resp_1"&gt;Unfavorable&lt;/OPTION&gt;&lt;OPTION VALUE="513628500_0_569041246771031_dropdown_189_resp_2"&gt;Favorable&lt;/OPTION&gt;&lt;OPTION VALUE="EAT_1360837186513_0_40236885432122393"&gt;Not Applicable&lt;/OPTION&gt;&lt;/SELECT&gt;"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698500" cy="292100"/>
                  <wp:effectExtent l="0" t="0" r="127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2921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r>
    </w:tbl>
    <w:p w:rsidR="008C6242" w:rsidRPr="008C6242" w:rsidRDefault="008C6242" w:rsidP="008C6242">
      <w:pPr>
        <w:spacing w:after="240"/>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br/>
      </w:r>
      <w:r w:rsidRPr="008C6242">
        <w:rPr>
          <w:rFonts w:ascii="Verdana" w:eastAsia="Times New Roman" w:hAnsi="Verdana" w:cs="Times New Roman"/>
          <w:b/>
          <w:bCs/>
          <w:color w:val="000000"/>
          <w:sz w:val="18"/>
          <w:szCs w:val="18"/>
        </w:rPr>
        <w:t>(b) </w:t>
      </w:r>
      <w:r w:rsidRPr="008C6242">
        <w:rPr>
          <w:rFonts w:ascii="Verdana" w:eastAsia="Times New Roman" w:hAnsi="Verdana" w:cs="Times New Roman"/>
          <w:color w:val="000000"/>
          <w:sz w:val="18"/>
          <w:szCs w:val="18"/>
        </w:rPr>
        <w:t>Calculate the direct labor rate and efficiency variances for November. </w:t>
      </w:r>
      <w:r w:rsidRPr="008C6242">
        <w:rPr>
          <w:rFonts w:ascii="Verdana" w:eastAsia="Times New Roman" w:hAnsi="Verdana" w:cs="Times New Roman"/>
          <w:b/>
          <w:bCs/>
          <w:i/>
          <w:iCs/>
          <w:color w:val="FF0000"/>
          <w:sz w:val="18"/>
          <w:szCs w:val="18"/>
        </w:rPr>
        <w:t xml:space="preserve">(Round answers to 0 decimal places, e.g. 125. If variance is zero, select "Not </w:t>
      </w:r>
      <w:proofErr w:type="gramStart"/>
      <w:r w:rsidRPr="008C6242">
        <w:rPr>
          <w:rFonts w:ascii="Verdana" w:eastAsia="Times New Roman" w:hAnsi="Verdana" w:cs="Times New Roman"/>
          <w:b/>
          <w:bCs/>
          <w:i/>
          <w:iCs/>
          <w:color w:val="FF0000"/>
          <w:sz w:val="18"/>
          <w:szCs w:val="18"/>
        </w:rPr>
        <w:t>Applicable</w:t>
      </w:r>
      <w:proofErr w:type="gramEnd"/>
      <w:r w:rsidRPr="008C6242">
        <w:rPr>
          <w:rFonts w:ascii="Verdana" w:eastAsia="Times New Roman" w:hAnsi="Verdana" w:cs="Times New Roman"/>
          <w:b/>
          <w:bCs/>
          <w:i/>
          <w:iCs/>
          <w:color w:val="FF0000"/>
          <w:sz w:val="18"/>
          <w:szCs w:val="18"/>
        </w:rPr>
        <w:t>" and enter 0 for the amounts.)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2875"/>
        <w:gridCol w:w="195"/>
        <w:gridCol w:w="100"/>
      </w:tblGrid>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Direct labor rate variance</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21" name="amarker_EAT_1377839874524_0_22472004134295542_0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5"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NAME=\"EAT_1377839874524_0_22472004134295542_005\"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23" name="amarker_EAT_1377839874524_0_22472004134295542_00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6"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"&lt;SELECT NAME=\"EAT_1377839874524_0_22472004134295542_006\"&gt;&lt;OPTION VALUE=""&gt; &lt;/OPTION&gt;&lt;OPTION VALUE="513628500_0_569041246771031_dropdown_176_resp_3"&gt;Not Applicable&lt;/OPTION&gt;&lt;OPTION VALUE="513628500_0_569041246771031_dropdown_176_resp_2"&gt;Favorable&lt;/OPTION&gt;&lt;OPTION VALUE="513628500_0_569041246771031_dropdown_176_resp_1"&gt;Unfavorable&lt;/OPTION&gt;&lt;/SELECT&gt;"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698500" cy="292100"/>
                  <wp:effectExtent l="0" t="0" r="12700" b="12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2921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Direct labor efficiency variance</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25" name="amarker_EAT_1377839874524_0_22472004134295542_0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7"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NAME=\"EAT_1377839874524_0_22472004134295542_007\"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27" name="amarker_EAT_1377839874524_0_22472004134295542_0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8"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"&lt;SELECT NAME=\"EAT_1377839874524_0_22472004134295542_008\"&gt;&lt;OPTION VALUE=""&gt; &lt;/OPTION&gt;&lt;OPTION VALUE="513628500_0_569041246771031_dropdown_181_resp_3"&gt;Favorable&lt;/OPTION&gt;&lt;OPTION VALUE="513628500_0_569041246771031_dropdown_181_resp_1"&gt;Not Applicable&lt;/OPTION&gt;&lt;OPTION VALUE="513628500_0_569041246771031_dropdown_181_resp_2"&gt;Unfavorable&lt;/OPTION&gt;&lt;/SELECT&gt;"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698500" cy="292100"/>
                  <wp:effectExtent l="0" t="0" r="12700" b="12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2921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r>
    </w:tbl>
    <w:p w:rsidR="008C6242" w:rsidRPr="008C6242" w:rsidRDefault="008C6242" w:rsidP="008C6242">
      <w:pPr>
        <w:spacing w:after="240"/>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br/>
      </w:r>
      <w:r w:rsidRPr="008C6242">
        <w:rPr>
          <w:rFonts w:ascii="Verdana" w:eastAsia="Times New Roman" w:hAnsi="Verdana" w:cs="Times New Roman"/>
          <w:b/>
          <w:bCs/>
          <w:color w:val="000000"/>
          <w:sz w:val="18"/>
          <w:szCs w:val="18"/>
        </w:rPr>
        <w:t>(c) </w:t>
      </w:r>
      <w:r w:rsidRPr="008C6242">
        <w:rPr>
          <w:rFonts w:ascii="Verdana" w:eastAsia="Times New Roman" w:hAnsi="Verdana" w:cs="Times New Roman"/>
          <w:color w:val="000000"/>
          <w:sz w:val="18"/>
          <w:szCs w:val="18"/>
        </w:rPr>
        <w:t>Calculate the variable overhead spending and efficiency variances for November. </w:t>
      </w:r>
      <w:r w:rsidRPr="008C6242">
        <w:rPr>
          <w:rFonts w:ascii="Verdana" w:eastAsia="Times New Roman" w:hAnsi="Verdana" w:cs="Times New Roman"/>
          <w:b/>
          <w:bCs/>
          <w:i/>
          <w:iCs/>
          <w:color w:val="FF0000"/>
          <w:sz w:val="18"/>
          <w:szCs w:val="18"/>
        </w:rPr>
        <w:t xml:space="preserve">(Round answers to 0 decimal places, e.g. 125. If variance is zero, select "Not </w:t>
      </w:r>
      <w:proofErr w:type="gramStart"/>
      <w:r w:rsidRPr="008C6242">
        <w:rPr>
          <w:rFonts w:ascii="Verdana" w:eastAsia="Times New Roman" w:hAnsi="Verdana" w:cs="Times New Roman"/>
          <w:b/>
          <w:bCs/>
          <w:i/>
          <w:iCs/>
          <w:color w:val="FF0000"/>
          <w:sz w:val="18"/>
          <w:szCs w:val="18"/>
        </w:rPr>
        <w:t>Applicable</w:t>
      </w:r>
      <w:proofErr w:type="gramEnd"/>
      <w:r w:rsidRPr="008C6242">
        <w:rPr>
          <w:rFonts w:ascii="Verdana" w:eastAsia="Times New Roman" w:hAnsi="Verdana" w:cs="Times New Roman"/>
          <w:b/>
          <w:bCs/>
          <w:i/>
          <w:iCs/>
          <w:color w:val="FF0000"/>
          <w:sz w:val="18"/>
          <w:szCs w:val="18"/>
        </w:rPr>
        <w:t>" and enter 0 for the amounts.)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457"/>
        <w:gridCol w:w="195"/>
        <w:gridCol w:w="100"/>
      </w:tblGrid>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Variable overhead spending variance</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29" name="amarker_EAT_1377839874524_0_22472004134295542_0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09"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NAME=\"EAT_1377839874524_0_22472004134295542_009\"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31" name="amarker_EAT_1377839874524_0_22472004134295542_0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10"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"&lt;SELECT NAME=\"EAT_1377839874524_0_22472004134295542_010\"&gt;&lt;OPTION VALUE=""&gt; &lt;/OPTION&gt;&lt;OPTION VALUE="513628500_0_569041246771031_dropdown_212_resp_2"&gt;Favorable&lt;/OPTION&gt;&lt;OPTION VALUE="513628500_0_569041246771031_dropdown_212_resp_3"&gt;Not Applicable&lt;/OPTION&gt;&lt;OPTION VALUE="513628500_0_569041246771031_dropdown_212_resp_1"&gt;Unfavorable&lt;/OPTION&gt;&lt;/SELECT&gt;"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698500" cy="292100"/>
                  <wp:effectExtent l="0" t="0" r="12700" b="1270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2921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r>
      <w:tr w:rsidR="008C6242" w:rsidRPr="008C6242" w:rsidTr="008C6242">
        <w:trPr>
          <w:tblCellSpacing w:w="0" w:type="dxa"/>
        </w:trPr>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Variable overhead efficiency variance</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33" name="amarker_EAT_1377839874524_0_22472004134295542_0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11"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NAME=\"EAT_1377839874524_0_22472004134295542_011\"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EEF5FF"/>
            <w:vAlign w:val="center"/>
            <w:hideMark/>
          </w:tcPr>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35" name="amarker_EAT_1377839874524_0_22472004134295542_0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12"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"&lt;SELECT NAME=\"EAT_1377839874524_0_22472004134295542_012\"&gt;&lt;OPTION VALUE=""&gt; &lt;/OPTION&gt;&lt;OPTION VALUE="513628500_0_569041246771031_dropdown_217_resp_2"&gt;Unfavourable&lt;/OPTION&gt;&lt;OPTION VALUE="513628500_0_569041246771031_dropdown_217_resp_1"&gt;Favourable&lt;/OPTION&gt;&lt;OPTION VALUE="513628500_0_569041246771031_dropdown_217_resp_3"&gt;Not Applicable&lt;/OPTION&gt;&lt;/SELECT&gt;"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698500" cy="292100"/>
                  <wp:effectExtent l="0" t="0" r="12700" b="1270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2921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r>
    </w:tbl>
    <w:p w:rsidR="008C6242" w:rsidRPr="008C6242" w:rsidRDefault="008C6242" w:rsidP="008C6242">
      <w:pPr>
        <w:spacing w:after="240"/>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br/>
      </w:r>
      <w:r w:rsidRPr="008C6242">
        <w:rPr>
          <w:rFonts w:ascii="Verdana" w:eastAsia="Times New Roman" w:hAnsi="Verdana" w:cs="Times New Roman"/>
          <w:b/>
          <w:bCs/>
          <w:color w:val="000000"/>
          <w:sz w:val="18"/>
          <w:szCs w:val="18"/>
        </w:rPr>
        <w:t>(d) </w:t>
      </w:r>
      <w:r w:rsidRPr="008C6242">
        <w:rPr>
          <w:rFonts w:ascii="Verdana" w:eastAsia="Times New Roman" w:hAnsi="Verdana" w:cs="Times New Roman"/>
          <w:color w:val="000000"/>
          <w:sz w:val="18"/>
          <w:szCs w:val="18"/>
        </w:rPr>
        <w:t>Calculate the fixed overhead spending variance for November. </w:t>
      </w:r>
      <w:r w:rsidRPr="008C6242">
        <w:rPr>
          <w:rFonts w:ascii="Verdana" w:eastAsia="Times New Roman" w:hAnsi="Verdana" w:cs="Times New Roman"/>
          <w:b/>
          <w:bCs/>
          <w:i/>
          <w:iCs/>
          <w:color w:val="FF0000"/>
          <w:sz w:val="18"/>
          <w:szCs w:val="18"/>
        </w:rPr>
        <w:t xml:space="preserve">(Round answer to 0 decimal places, e.g. 125. If variance is zero, select "Not </w:t>
      </w:r>
      <w:proofErr w:type="gramStart"/>
      <w:r w:rsidRPr="008C6242">
        <w:rPr>
          <w:rFonts w:ascii="Verdana" w:eastAsia="Times New Roman" w:hAnsi="Verdana" w:cs="Times New Roman"/>
          <w:b/>
          <w:bCs/>
          <w:i/>
          <w:iCs/>
          <w:color w:val="FF0000"/>
          <w:sz w:val="18"/>
          <w:szCs w:val="18"/>
        </w:rPr>
        <w:t>Applicable</w:t>
      </w:r>
      <w:proofErr w:type="gramEnd"/>
      <w:r w:rsidRPr="008C6242">
        <w:rPr>
          <w:rFonts w:ascii="Verdana" w:eastAsia="Times New Roman" w:hAnsi="Verdana" w:cs="Times New Roman"/>
          <w:b/>
          <w:bCs/>
          <w:i/>
          <w:iCs/>
          <w:color w:val="FF0000"/>
          <w:sz w:val="18"/>
          <w:szCs w:val="18"/>
        </w:rPr>
        <w:t>" and enter 0 for the amounts.)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169"/>
        <w:gridCol w:w="195"/>
        <w:gridCol w:w="100"/>
      </w:tblGrid>
      <w:tr w:rsidR="008C6242" w:rsidRPr="008C6242" w:rsidTr="008C6242">
        <w:trPr>
          <w:tblCellSpacing w:w="0" w:type="dxa"/>
        </w:trPr>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Fixed overhead spending variance</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sidRPr="008C6242">
              <w:rPr>
                <w:rFonts w:ascii="Verdana" w:eastAsia="Times New Roman" w:hAnsi="Verdana" w:cs="Times New Roman"/>
                <w:color w:val="000000"/>
                <w:sz w:val="18"/>
                <w:szCs w:val="18"/>
              </w:rPr>
              <w:t>$</w:t>
            </w:r>
          </w:p>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37" name="amarker_EAT_1377839874524_0_22472004134295542_0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13"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"&lt;INPUT VALUE=\"\" NAME=\"EAT_1377839874524_0_22472004134295542_013\" TYPE=\"text\"&gt;"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177800" cy="254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c>
          <w:tcPr>
            <w:tcW w:w="0" w:type="auto"/>
            <w:shd w:val="clear" w:color="auto" w:fill="DEEAF9"/>
            <w:vAlign w:val="center"/>
            <w:hideMark/>
          </w:tcPr>
          <w:p w:rsidR="008C6242" w:rsidRPr="008C6242" w:rsidRDefault="008C6242" w:rsidP="008C6242">
            <w:pP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700" cy="12700"/>
                  <wp:effectExtent l="0" t="0" r="0" b="0"/>
                  <wp:docPr id="39" name="amarker_EAT_1377839874524_0_22472004134295542_0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7839874524_0_22472004134295542_014" descr="http://edugen.wiley.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w:instrText>
            </w:r>
            <w:r w:rsidRPr="008C6242">
              <w:rPr>
                <w:rFonts w:ascii="Verdana" w:eastAsia="Times New Roman" w:hAnsi="Verdana" w:cs="Times New Roman"/>
                <w:color w:val="000000"/>
                <w:sz w:val="18"/>
                <w:szCs w:val="18"/>
              </w:rPr>
              <w:fldChar w:fldCharType="begin"/>
            </w:r>
            <w:r w:rsidRPr="008C6242">
              <w:rPr>
                <w:rFonts w:ascii="Verdana" w:eastAsia="Times New Roman" w:hAnsi="Verdana" w:cs="Times New Roman"/>
                <w:color w:val="000000"/>
                <w:sz w:val="18"/>
                <w:szCs w:val="18"/>
              </w:rPr>
              <w:instrText xml:space="preserve"> PRIVATE "&lt;SELECT NAME=\"EAT_1377839874524_0_22472004134295542_014\"&gt;&lt;OPTION VALUE=""&gt; &lt;/OPTION&gt;&lt;OPTION VALUE="513628500_0_569041246771031_dropdown_224_resp_2"&gt;Favorable&lt;/OPTION&gt;&lt;OPTION VALUE="EAT_1360837168961_0_08436222949910899"&gt;Not Applicable&lt;/OPTION&gt;&lt;OPTION VALUE="513628500_0_569041246771031_dropdown_224_resp_1"&gt;Unfavorable&lt;/OPTION&gt;&lt;/SELECT&gt;" </w:instrText>
            </w:r>
            <w:r w:rsidRPr="008C6242">
              <w:rPr>
                <w:rFonts w:ascii="Verdana" w:eastAsia="Times New Roman" w:hAnsi="Verdana" w:cs="Times New Roman"/>
                <w:color w:val="000000"/>
                <w:sz w:val="18"/>
                <w:szCs w:val="18"/>
              </w:rPr>
              <w:fldChar w:fldCharType="separate"/>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instrText xml:space="preserve">MACROBUTTON HTMLDirect </w:instrText>
            </w:r>
            <w:r>
              <w:rPr>
                <w:rFonts w:ascii="Times" w:hAnsi="Times"/>
                <w:noProof/>
                <w:sz w:val="20"/>
                <w:szCs w:val="20"/>
              </w:rPr>
              <w:drawing>
                <wp:inline distT="0" distB="0" distL="0" distR="0">
                  <wp:extent cx="698500" cy="292100"/>
                  <wp:effectExtent l="0" t="0" r="12700" b="1270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292100"/>
                          </a:xfrm>
                          <a:prstGeom prst="rect">
                            <a:avLst/>
                          </a:prstGeom>
                          <a:noFill/>
                          <a:ln>
                            <a:noFill/>
                          </a:ln>
                        </pic:spPr>
                      </pic:pic>
                    </a:graphicData>
                  </a:graphic>
                </wp:inline>
              </w:drawing>
            </w:r>
            <w:r w:rsidRPr="008C6242">
              <w:rPr>
                <w:rFonts w:ascii="Verdana" w:eastAsia="Times New Roman" w:hAnsi="Verdana" w:cs="Times New Roman"/>
                <w:color w:val="000000"/>
                <w:sz w:val="18"/>
                <w:szCs w:val="18"/>
              </w:rPr>
              <w:fldChar w:fldCharType="end"/>
            </w:r>
            <w:r w:rsidRPr="008C6242">
              <w:rPr>
                <w:rFonts w:ascii="Verdana" w:eastAsia="Times New Roman" w:hAnsi="Verdana" w:cs="Times New Roman"/>
                <w:color w:val="000000"/>
                <w:sz w:val="18"/>
                <w:szCs w:val="18"/>
              </w:rPr>
              <w:t xml:space="preserve"> </w:t>
            </w:r>
          </w:p>
        </w:tc>
      </w:tr>
    </w:tbl>
    <w:p w:rsidR="008C6242" w:rsidRDefault="008C6242">
      <w:bookmarkStart w:id="0" w:name="_GoBack"/>
      <w:bookmarkEnd w:id="0"/>
    </w:p>
    <w:sectPr w:rsidR="008C6242" w:rsidSect="005D1F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42"/>
    <w:rsid w:val="005D1FA2"/>
    <w:rsid w:val="008C6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A10D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624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242"/>
    <w:rPr>
      <w:rFonts w:ascii="Times" w:hAnsi="Times"/>
      <w:b/>
      <w:bCs/>
      <w:sz w:val="27"/>
      <w:szCs w:val="27"/>
    </w:rPr>
  </w:style>
  <w:style w:type="character" w:customStyle="1" w:styleId="apple-converted-space">
    <w:name w:val="apple-converted-space"/>
    <w:basedOn w:val="DefaultParagraphFont"/>
    <w:rsid w:val="008C6242"/>
  </w:style>
  <w:style w:type="paragraph" w:styleId="BalloonText">
    <w:name w:val="Balloon Text"/>
    <w:basedOn w:val="Normal"/>
    <w:link w:val="BalloonTextChar"/>
    <w:uiPriority w:val="99"/>
    <w:semiHidden/>
    <w:unhideWhenUsed/>
    <w:rsid w:val="008C62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24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624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242"/>
    <w:rPr>
      <w:rFonts w:ascii="Times" w:hAnsi="Times"/>
      <w:b/>
      <w:bCs/>
      <w:sz w:val="27"/>
      <w:szCs w:val="27"/>
    </w:rPr>
  </w:style>
  <w:style w:type="character" w:customStyle="1" w:styleId="apple-converted-space">
    <w:name w:val="apple-converted-space"/>
    <w:basedOn w:val="DefaultParagraphFont"/>
    <w:rsid w:val="008C6242"/>
  </w:style>
  <w:style w:type="paragraph" w:styleId="BalloonText">
    <w:name w:val="Balloon Text"/>
    <w:basedOn w:val="Normal"/>
    <w:link w:val="BalloonTextChar"/>
    <w:uiPriority w:val="99"/>
    <w:semiHidden/>
    <w:unhideWhenUsed/>
    <w:rsid w:val="008C62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24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153513">
      <w:bodyDiv w:val="1"/>
      <w:marLeft w:val="0"/>
      <w:marRight w:val="0"/>
      <w:marTop w:val="0"/>
      <w:marBottom w:val="0"/>
      <w:divBdr>
        <w:top w:val="none" w:sz="0" w:space="0" w:color="auto"/>
        <w:left w:val="none" w:sz="0" w:space="0" w:color="auto"/>
        <w:bottom w:val="none" w:sz="0" w:space="0" w:color="auto"/>
        <w:right w:val="none" w:sz="0" w:space="0" w:color="auto"/>
      </w:divBdr>
      <w:divsChild>
        <w:div w:id="1446271431">
          <w:marLeft w:val="0"/>
          <w:marRight w:val="0"/>
          <w:marTop w:val="0"/>
          <w:marBottom w:val="0"/>
          <w:divBdr>
            <w:top w:val="none" w:sz="0" w:space="0" w:color="auto"/>
            <w:left w:val="none" w:sz="0" w:space="0" w:color="auto"/>
            <w:bottom w:val="none" w:sz="0" w:space="0" w:color="auto"/>
            <w:right w:val="none" w:sz="0" w:space="0" w:color="auto"/>
          </w:divBdr>
          <w:divsChild>
            <w:div w:id="823475527">
              <w:marLeft w:val="0"/>
              <w:marRight w:val="0"/>
              <w:marTop w:val="0"/>
              <w:marBottom w:val="0"/>
              <w:divBdr>
                <w:top w:val="none" w:sz="0" w:space="0" w:color="auto"/>
                <w:left w:val="none" w:sz="0" w:space="0" w:color="auto"/>
                <w:bottom w:val="none" w:sz="0" w:space="0" w:color="auto"/>
                <w:right w:val="none" w:sz="0" w:space="0" w:color="auto"/>
              </w:divBdr>
              <w:divsChild>
                <w:div w:id="1745447125">
                  <w:marLeft w:val="0"/>
                  <w:marRight w:val="0"/>
                  <w:marTop w:val="75"/>
                  <w:marBottom w:val="0"/>
                  <w:divBdr>
                    <w:top w:val="none" w:sz="0" w:space="0" w:color="auto"/>
                    <w:left w:val="none" w:sz="0" w:space="0" w:color="auto"/>
                    <w:bottom w:val="none" w:sz="0" w:space="0" w:color="auto"/>
                    <w:right w:val="none" w:sz="0" w:space="0" w:color="auto"/>
                  </w:divBdr>
                  <w:divsChild>
                    <w:div w:id="767893382">
                      <w:marLeft w:val="0"/>
                      <w:marRight w:val="0"/>
                      <w:marTop w:val="0"/>
                      <w:marBottom w:val="0"/>
                      <w:divBdr>
                        <w:top w:val="none" w:sz="0" w:space="0" w:color="auto"/>
                        <w:left w:val="none" w:sz="0" w:space="0" w:color="auto"/>
                        <w:bottom w:val="none" w:sz="0" w:space="0" w:color="auto"/>
                        <w:right w:val="none" w:sz="0" w:space="0" w:color="auto"/>
                      </w:divBdr>
                    </w:div>
                  </w:divsChild>
                </w:div>
                <w:div w:id="1584333876">
                  <w:marLeft w:val="0"/>
                  <w:marRight w:val="0"/>
                  <w:marTop w:val="75"/>
                  <w:marBottom w:val="0"/>
                  <w:divBdr>
                    <w:top w:val="none" w:sz="0" w:space="0" w:color="auto"/>
                    <w:left w:val="none" w:sz="0" w:space="0" w:color="auto"/>
                    <w:bottom w:val="none" w:sz="0" w:space="0" w:color="auto"/>
                    <w:right w:val="none" w:sz="0" w:space="0" w:color="auto"/>
                  </w:divBdr>
                  <w:divsChild>
                    <w:div w:id="1724676967">
                      <w:marLeft w:val="0"/>
                      <w:marRight w:val="0"/>
                      <w:marTop w:val="0"/>
                      <w:marBottom w:val="0"/>
                      <w:divBdr>
                        <w:top w:val="none" w:sz="0" w:space="0" w:color="auto"/>
                        <w:left w:val="none" w:sz="0" w:space="0" w:color="auto"/>
                        <w:bottom w:val="none" w:sz="0" w:space="0" w:color="auto"/>
                        <w:right w:val="none" w:sz="0" w:space="0" w:color="auto"/>
                      </w:divBdr>
                    </w:div>
                  </w:divsChild>
                </w:div>
                <w:div w:id="1734306747">
                  <w:marLeft w:val="0"/>
                  <w:marRight w:val="0"/>
                  <w:marTop w:val="75"/>
                  <w:marBottom w:val="0"/>
                  <w:divBdr>
                    <w:top w:val="none" w:sz="0" w:space="0" w:color="auto"/>
                    <w:left w:val="none" w:sz="0" w:space="0" w:color="auto"/>
                    <w:bottom w:val="none" w:sz="0" w:space="0" w:color="auto"/>
                    <w:right w:val="none" w:sz="0" w:space="0" w:color="auto"/>
                  </w:divBdr>
                  <w:divsChild>
                    <w:div w:id="1375422955">
                      <w:marLeft w:val="0"/>
                      <w:marRight w:val="0"/>
                      <w:marTop w:val="0"/>
                      <w:marBottom w:val="0"/>
                      <w:divBdr>
                        <w:top w:val="none" w:sz="0" w:space="0" w:color="auto"/>
                        <w:left w:val="none" w:sz="0" w:space="0" w:color="auto"/>
                        <w:bottom w:val="none" w:sz="0" w:space="0" w:color="auto"/>
                        <w:right w:val="none" w:sz="0" w:space="0" w:color="auto"/>
                      </w:divBdr>
                    </w:div>
                  </w:divsChild>
                </w:div>
                <w:div w:id="409278439">
                  <w:marLeft w:val="0"/>
                  <w:marRight w:val="0"/>
                  <w:marTop w:val="75"/>
                  <w:marBottom w:val="0"/>
                  <w:divBdr>
                    <w:top w:val="none" w:sz="0" w:space="0" w:color="auto"/>
                    <w:left w:val="none" w:sz="0" w:space="0" w:color="auto"/>
                    <w:bottom w:val="none" w:sz="0" w:space="0" w:color="auto"/>
                    <w:right w:val="none" w:sz="0" w:space="0" w:color="auto"/>
                  </w:divBdr>
                  <w:divsChild>
                    <w:div w:id="94180224">
                      <w:marLeft w:val="0"/>
                      <w:marRight w:val="0"/>
                      <w:marTop w:val="0"/>
                      <w:marBottom w:val="0"/>
                      <w:divBdr>
                        <w:top w:val="none" w:sz="0" w:space="0" w:color="auto"/>
                        <w:left w:val="none" w:sz="0" w:space="0" w:color="auto"/>
                        <w:bottom w:val="none" w:sz="0" w:space="0" w:color="auto"/>
                        <w:right w:val="none" w:sz="0" w:space="0" w:color="auto"/>
                      </w:divBdr>
                    </w:div>
                  </w:divsChild>
                </w:div>
                <w:div w:id="236941554">
                  <w:marLeft w:val="0"/>
                  <w:marRight w:val="0"/>
                  <w:marTop w:val="75"/>
                  <w:marBottom w:val="0"/>
                  <w:divBdr>
                    <w:top w:val="none" w:sz="0" w:space="0" w:color="auto"/>
                    <w:left w:val="none" w:sz="0" w:space="0" w:color="auto"/>
                    <w:bottom w:val="none" w:sz="0" w:space="0" w:color="auto"/>
                    <w:right w:val="none" w:sz="0" w:space="0" w:color="auto"/>
                  </w:divBdr>
                  <w:divsChild>
                    <w:div w:id="1295676868">
                      <w:marLeft w:val="0"/>
                      <w:marRight w:val="0"/>
                      <w:marTop w:val="0"/>
                      <w:marBottom w:val="0"/>
                      <w:divBdr>
                        <w:top w:val="none" w:sz="0" w:space="0" w:color="auto"/>
                        <w:left w:val="none" w:sz="0" w:space="0" w:color="auto"/>
                        <w:bottom w:val="none" w:sz="0" w:space="0" w:color="auto"/>
                        <w:right w:val="none" w:sz="0" w:space="0" w:color="auto"/>
                      </w:divBdr>
                    </w:div>
                  </w:divsChild>
                </w:div>
                <w:div w:id="1938243968">
                  <w:marLeft w:val="0"/>
                  <w:marRight w:val="0"/>
                  <w:marTop w:val="75"/>
                  <w:marBottom w:val="0"/>
                  <w:divBdr>
                    <w:top w:val="none" w:sz="0" w:space="0" w:color="auto"/>
                    <w:left w:val="none" w:sz="0" w:space="0" w:color="auto"/>
                    <w:bottom w:val="none" w:sz="0" w:space="0" w:color="auto"/>
                    <w:right w:val="none" w:sz="0" w:space="0" w:color="auto"/>
                  </w:divBdr>
                  <w:divsChild>
                    <w:div w:id="400491179">
                      <w:marLeft w:val="0"/>
                      <w:marRight w:val="0"/>
                      <w:marTop w:val="0"/>
                      <w:marBottom w:val="0"/>
                      <w:divBdr>
                        <w:top w:val="none" w:sz="0" w:space="0" w:color="auto"/>
                        <w:left w:val="none" w:sz="0" w:space="0" w:color="auto"/>
                        <w:bottom w:val="none" w:sz="0" w:space="0" w:color="auto"/>
                        <w:right w:val="none" w:sz="0" w:space="0" w:color="auto"/>
                      </w:divBdr>
                    </w:div>
                  </w:divsChild>
                </w:div>
                <w:div w:id="970746057">
                  <w:marLeft w:val="0"/>
                  <w:marRight w:val="0"/>
                  <w:marTop w:val="75"/>
                  <w:marBottom w:val="0"/>
                  <w:divBdr>
                    <w:top w:val="none" w:sz="0" w:space="0" w:color="auto"/>
                    <w:left w:val="none" w:sz="0" w:space="0" w:color="auto"/>
                    <w:bottom w:val="none" w:sz="0" w:space="0" w:color="auto"/>
                    <w:right w:val="none" w:sz="0" w:space="0" w:color="auto"/>
                  </w:divBdr>
                  <w:divsChild>
                    <w:div w:id="1877430095">
                      <w:marLeft w:val="0"/>
                      <w:marRight w:val="0"/>
                      <w:marTop w:val="0"/>
                      <w:marBottom w:val="0"/>
                      <w:divBdr>
                        <w:top w:val="none" w:sz="0" w:space="0" w:color="auto"/>
                        <w:left w:val="none" w:sz="0" w:space="0" w:color="auto"/>
                        <w:bottom w:val="none" w:sz="0" w:space="0" w:color="auto"/>
                        <w:right w:val="none" w:sz="0" w:space="0" w:color="auto"/>
                      </w:divBdr>
                    </w:div>
                  </w:divsChild>
                </w:div>
                <w:div w:id="925648052">
                  <w:marLeft w:val="0"/>
                  <w:marRight w:val="0"/>
                  <w:marTop w:val="75"/>
                  <w:marBottom w:val="0"/>
                  <w:divBdr>
                    <w:top w:val="none" w:sz="0" w:space="0" w:color="auto"/>
                    <w:left w:val="none" w:sz="0" w:space="0" w:color="auto"/>
                    <w:bottom w:val="none" w:sz="0" w:space="0" w:color="auto"/>
                    <w:right w:val="none" w:sz="0" w:space="0" w:color="auto"/>
                  </w:divBdr>
                  <w:divsChild>
                    <w:div w:id="265043276">
                      <w:marLeft w:val="0"/>
                      <w:marRight w:val="0"/>
                      <w:marTop w:val="0"/>
                      <w:marBottom w:val="0"/>
                      <w:divBdr>
                        <w:top w:val="none" w:sz="0" w:space="0" w:color="auto"/>
                        <w:left w:val="none" w:sz="0" w:space="0" w:color="auto"/>
                        <w:bottom w:val="none" w:sz="0" w:space="0" w:color="auto"/>
                        <w:right w:val="none" w:sz="0" w:space="0" w:color="auto"/>
                      </w:divBdr>
                    </w:div>
                  </w:divsChild>
                </w:div>
                <w:div w:id="1086732840">
                  <w:marLeft w:val="0"/>
                  <w:marRight w:val="0"/>
                  <w:marTop w:val="75"/>
                  <w:marBottom w:val="0"/>
                  <w:divBdr>
                    <w:top w:val="none" w:sz="0" w:space="0" w:color="auto"/>
                    <w:left w:val="none" w:sz="0" w:space="0" w:color="auto"/>
                    <w:bottom w:val="none" w:sz="0" w:space="0" w:color="auto"/>
                    <w:right w:val="none" w:sz="0" w:space="0" w:color="auto"/>
                  </w:divBdr>
                  <w:divsChild>
                    <w:div w:id="1147283894">
                      <w:marLeft w:val="0"/>
                      <w:marRight w:val="0"/>
                      <w:marTop w:val="0"/>
                      <w:marBottom w:val="0"/>
                      <w:divBdr>
                        <w:top w:val="none" w:sz="0" w:space="0" w:color="auto"/>
                        <w:left w:val="none" w:sz="0" w:space="0" w:color="auto"/>
                        <w:bottom w:val="none" w:sz="0" w:space="0" w:color="auto"/>
                        <w:right w:val="none" w:sz="0" w:space="0" w:color="auto"/>
                      </w:divBdr>
                    </w:div>
                  </w:divsChild>
                </w:div>
                <w:div w:id="2114593686">
                  <w:marLeft w:val="0"/>
                  <w:marRight w:val="0"/>
                  <w:marTop w:val="75"/>
                  <w:marBottom w:val="0"/>
                  <w:divBdr>
                    <w:top w:val="none" w:sz="0" w:space="0" w:color="auto"/>
                    <w:left w:val="none" w:sz="0" w:space="0" w:color="auto"/>
                    <w:bottom w:val="none" w:sz="0" w:space="0" w:color="auto"/>
                    <w:right w:val="none" w:sz="0" w:space="0" w:color="auto"/>
                  </w:divBdr>
                  <w:divsChild>
                    <w:div w:id="834107614">
                      <w:marLeft w:val="0"/>
                      <w:marRight w:val="0"/>
                      <w:marTop w:val="0"/>
                      <w:marBottom w:val="0"/>
                      <w:divBdr>
                        <w:top w:val="none" w:sz="0" w:space="0" w:color="auto"/>
                        <w:left w:val="none" w:sz="0" w:space="0" w:color="auto"/>
                        <w:bottom w:val="none" w:sz="0" w:space="0" w:color="auto"/>
                        <w:right w:val="none" w:sz="0" w:space="0" w:color="auto"/>
                      </w:divBdr>
                    </w:div>
                  </w:divsChild>
                </w:div>
                <w:div w:id="1799760968">
                  <w:marLeft w:val="0"/>
                  <w:marRight w:val="0"/>
                  <w:marTop w:val="75"/>
                  <w:marBottom w:val="0"/>
                  <w:divBdr>
                    <w:top w:val="none" w:sz="0" w:space="0" w:color="auto"/>
                    <w:left w:val="none" w:sz="0" w:space="0" w:color="auto"/>
                    <w:bottom w:val="none" w:sz="0" w:space="0" w:color="auto"/>
                    <w:right w:val="none" w:sz="0" w:space="0" w:color="auto"/>
                  </w:divBdr>
                  <w:divsChild>
                    <w:div w:id="1324577693">
                      <w:marLeft w:val="0"/>
                      <w:marRight w:val="0"/>
                      <w:marTop w:val="0"/>
                      <w:marBottom w:val="0"/>
                      <w:divBdr>
                        <w:top w:val="none" w:sz="0" w:space="0" w:color="auto"/>
                        <w:left w:val="none" w:sz="0" w:space="0" w:color="auto"/>
                        <w:bottom w:val="none" w:sz="0" w:space="0" w:color="auto"/>
                        <w:right w:val="none" w:sz="0" w:space="0" w:color="auto"/>
                      </w:divBdr>
                    </w:div>
                  </w:divsChild>
                </w:div>
                <w:div w:id="2046713800">
                  <w:marLeft w:val="0"/>
                  <w:marRight w:val="0"/>
                  <w:marTop w:val="75"/>
                  <w:marBottom w:val="0"/>
                  <w:divBdr>
                    <w:top w:val="none" w:sz="0" w:space="0" w:color="auto"/>
                    <w:left w:val="none" w:sz="0" w:space="0" w:color="auto"/>
                    <w:bottom w:val="none" w:sz="0" w:space="0" w:color="auto"/>
                    <w:right w:val="none" w:sz="0" w:space="0" w:color="auto"/>
                  </w:divBdr>
                  <w:divsChild>
                    <w:div w:id="1746798902">
                      <w:marLeft w:val="0"/>
                      <w:marRight w:val="0"/>
                      <w:marTop w:val="0"/>
                      <w:marBottom w:val="0"/>
                      <w:divBdr>
                        <w:top w:val="none" w:sz="0" w:space="0" w:color="auto"/>
                        <w:left w:val="none" w:sz="0" w:space="0" w:color="auto"/>
                        <w:bottom w:val="none" w:sz="0" w:space="0" w:color="auto"/>
                        <w:right w:val="none" w:sz="0" w:space="0" w:color="auto"/>
                      </w:divBdr>
                    </w:div>
                  </w:divsChild>
                </w:div>
                <w:div w:id="1436049346">
                  <w:marLeft w:val="0"/>
                  <w:marRight w:val="0"/>
                  <w:marTop w:val="75"/>
                  <w:marBottom w:val="0"/>
                  <w:divBdr>
                    <w:top w:val="none" w:sz="0" w:space="0" w:color="auto"/>
                    <w:left w:val="none" w:sz="0" w:space="0" w:color="auto"/>
                    <w:bottom w:val="none" w:sz="0" w:space="0" w:color="auto"/>
                    <w:right w:val="none" w:sz="0" w:space="0" w:color="auto"/>
                  </w:divBdr>
                  <w:divsChild>
                    <w:div w:id="510223493">
                      <w:marLeft w:val="0"/>
                      <w:marRight w:val="0"/>
                      <w:marTop w:val="0"/>
                      <w:marBottom w:val="0"/>
                      <w:divBdr>
                        <w:top w:val="none" w:sz="0" w:space="0" w:color="auto"/>
                        <w:left w:val="none" w:sz="0" w:space="0" w:color="auto"/>
                        <w:bottom w:val="none" w:sz="0" w:space="0" w:color="auto"/>
                        <w:right w:val="none" w:sz="0" w:space="0" w:color="auto"/>
                      </w:divBdr>
                    </w:div>
                  </w:divsChild>
                </w:div>
                <w:div w:id="1896113608">
                  <w:marLeft w:val="0"/>
                  <w:marRight w:val="0"/>
                  <w:marTop w:val="75"/>
                  <w:marBottom w:val="0"/>
                  <w:divBdr>
                    <w:top w:val="none" w:sz="0" w:space="0" w:color="auto"/>
                    <w:left w:val="none" w:sz="0" w:space="0" w:color="auto"/>
                    <w:bottom w:val="none" w:sz="0" w:space="0" w:color="auto"/>
                    <w:right w:val="none" w:sz="0" w:space="0" w:color="auto"/>
                  </w:divBdr>
                  <w:divsChild>
                    <w:div w:id="11756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5489">
          <w:marLeft w:val="0"/>
          <w:marRight w:val="0"/>
          <w:marTop w:val="0"/>
          <w:marBottom w:val="0"/>
          <w:divBdr>
            <w:top w:val="none" w:sz="0" w:space="0" w:color="auto"/>
            <w:left w:val="none" w:sz="0" w:space="0" w:color="auto"/>
            <w:bottom w:val="none" w:sz="0" w:space="0" w:color="auto"/>
            <w:right w:val="none" w:sz="0" w:space="0" w:color="auto"/>
          </w:divBdr>
          <w:divsChild>
            <w:div w:id="52050086">
              <w:marLeft w:val="0"/>
              <w:marRight w:val="0"/>
              <w:marTop w:val="0"/>
              <w:marBottom w:val="0"/>
              <w:divBdr>
                <w:top w:val="none" w:sz="0" w:space="0" w:color="auto"/>
                <w:left w:val="none" w:sz="0" w:space="0" w:color="auto"/>
                <w:bottom w:val="none" w:sz="0" w:space="0" w:color="auto"/>
                <w:right w:val="none" w:sz="0" w:space="0" w:color="auto"/>
              </w:divBdr>
              <w:divsChild>
                <w:div w:id="2083486169">
                  <w:marLeft w:val="0"/>
                  <w:marRight w:val="0"/>
                  <w:marTop w:val="75"/>
                  <w:marBottom w:val="0"/>
                  <w:divBdr>
                    <w:top w:val="none" w:sz="0" w:space="0" w:color="auto"/>
                    <w:left w:val="none" w:sz="0" w:space="0" w:color="auto"/>
                    <w:bottom w:val="none" w:sz="0" w:space="0" w:color="auto"/>
                    <w:right w:val="none" w:sz="0" w:space="0" w:color="auto"/>
                  </w:divBdr>
                  <w:divsChild>
                    <w:div w:id="122817560">
                      <w:marLeft w:val="0"/>
                      <w:marRight w:val="0"/>
                      <w:marTop w:val="0"/>
                      <w:marBottom w:val="0"/>
                      <w:divBdr>
                        <w:top w:val="none" w:sz="0" w:space="0" w:color="auto"/>
                        <w:left w:val="none" w:sz="0" w:space="0" w:color="auto"/>
                        <w:bottom w:val="none" w:sz="0" w:space="0" w:color="auto"/>
                        <w:right w:val="none" w:sz="0" w:space="0" w:color="auto"/>
                      </w:divBdr>
                    </w:div>
                  </w:divsChild>
                </w:div>
                <w:div w:id="1207638532">
                  <w:marLeft w:val="0"/>
                  <w:marRight w:val="0"/>
                  <w:marTop w:val="75"/>
                  <w:marBottom w:val="0"/>
                  <w:divBdr>
                    <w:top w:val="none" w:sz="0" w:space="0" w:color="auto"/>
                    <w:left w:val="none" w:sz="0" w:space="0" w:color="auto"/>
                    <w:bottom w:val="none" w:sz="0" w:space="0" w:color="auto"/>
                    <w:right w:val="none" w:sz="0" w:space="0" w:color="auto"/>
                  </w:divBdr>
                  <w:divsChild>
                    <w:div w:id="1788618483">
                      <w:marLeft w:val="0"/>
                      <w:marRight w:val="0"/>
                      <w:marTop w:val="0"/>
                      <w:marBottom w:val="0"/>
                      <w:divBdr>
                        <w:top w:val="none" w:sz="0" w:space="0" w:color="auto"/>
                        <w:left w:val="none" w:sz="0" w:space="0" w:color="auto"/>
                        <w:bottom w:val="none" w:sz="0" w:space="0" w:color="auto"/>
                        <w:right w:val="none" w:sz="0" w:space="0" w:color="auto"/>
                      </w:divBdr>
                    </w:div>
                  </w:divsChild>
                </w:div>
                <w:div w:id="258873526">
                  <w:marLeft w:val="0"/>
                  <w:marRight w:val="0"/>
                  <w:marTop w:val="75"/>
                  <w:marBottom w:val="0"/>
                  <w:divBdr>
                    <w:top w:val="none" w:sz="0" w:space="0" w:color="auto"/>
                    <w:left w:val="none" w:sz="0" w:space="0" w:color="auto"/>
                    <w:bottom w:val="none" w:sz="0" w:space="0" w:color="auto"/>
                    <w:right w:val="none" w:sz="0" w:space="0" w:color="auto"/>
                  </w:divBdr>
                  <w:divsChild>
                    <w:div w:id="2304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6685</Characters>
  <Application>Microsoft Macintosh Word</Application>
  <DocSecurity>0</DocSecurity>
  <Lines>55</Lines>
  <Paragraphs>15</Paragraphs>
  <ScaleCrop>false</ScaleCrop>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Gibson</dc:creator>
  <cp:keywords/>
  <dc:description/>
  <cp:lastModifiedBy>Emily Gibson</cp:lastModifiedBy>
  <cp:revision>1</cp:revision>
  <dcterms:created xsi:type="dcterms:W3CDTF">2016-10-31T04:01:00Z</dcterms:created>
  <dcterms:modified xsi:type="dcterms:W3CDTF">2016-10-31T04:02:00Z</dcterms:modified>
</cp:coreProperties>
</file>